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 xml:space="preserve">Class Period: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Coil Vocabulary and Test Tile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i w:val="1"/>
          <w:rtl w:val="0"/>
        </w:rPr>
        <w:t xml:space="preserve"> Use the space provided to define each vocabulary term as they are discussed.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Coil Building: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Score: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Slip: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Color: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Value: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Texture: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Variety: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Movement: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Test Tiles Round 2: Showing Variety over Form and Texture through Color and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Follow instructions for creating a coil test tile then load tiles for bisque fire. When you get your tiles back you will stain one tile and glaze the other. Record which stain and/or glaze you apply in the table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Coil Tile With Stain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Coil Tile with Glaze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